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ackground w:color="FFFFFF" w:themeColor="background1"/>
  <w:body>
    <w:p>
      <w:pPr>
        <w:spacing w:after="0" w:before="120"/>
        <w:jc w:val="center"/>
      </w:pPr>
      <w:r>
        <w:rPr>
          <w:noProof/>
        </w:rPr>
        <w:drawing>
          <wp:inline distT="0" distB="0" distL="0" distR="0">
            <wp:extent cx="2926080" cy="1016121"/>
            <wp:effectExtent l="0" t="0" r="0" b="0"/>
            <wp:docPr id="9" name="Cargotr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gotronLogo"/>
                    <pic:cNvPicPr/>
                  </pic:nvPicPr>
                  <pic:blipFill>
                    <a:blip r:embed="rId9"/>
                    <a:stretch>
                      <a:fillRect/>
                    </a:stretch>
                  </pic:blipFill>
                  <pic:spPr>
                    <a:xfrm>
                      <a:off x="0" y="0"/>
                      <a:ext cx="2926080" cy="1016121"/>
                    </a:xfrm>
                    <a:prstGeom prst="rect">
                      <a:avLst/>
                    </a:prstGeom>
                  </pic:spPr>
                </pic:pic>
              </a:graphicData>
            </a:graphic>
          </wp:inline>
        </w:drawing>
      </w:r>
    </w:p>
    <w:p>
      <w:pPr>
        <w:pBdr>
          <w:bottom w:val="single" w:color="B8960C" w:sz="12" w:space="1"/>
        </w:pBdr>
        <w:spacing w:after="0" w:before="80"/>
      </w:pPr>
      <w:r>
        <w:t xml:space="preserve"/>
      </w:r>
    </w:p>
    <w:p>
      <w:pPr>
        <w:spacing w:after="60" w:before="0"/>
        <w:jc w:val="left"/>
      </w:pPr>
      <w:r>
        <w:rPr>
          <w:rFonts w:ascii="Calibri" w:cs="Calibri" w:eastAsia="Calibri" w:hAnsi="Calibri"/>
          <w:b/>
          <w:bCs/>
          <w:color w:val="0D1B2A"/>
          <w:spacing w:val="60"/>
          <w:sz w:val="32"/>
          <w:szCs w:val="32"/>
        </w:rPr>
        <w:t xml:space="preserve">BROKER RATE SCHEDULE &amp; FEE ACKNOWLEDGMENT</w:t>
      </w:r>
    </w:p>
    <w:p>
      <w:pPr>
        <w:spacing w:after="240" w:before="0"/>
      </w:pPr>
      <w:r>
        <w:t xml:space="preserve"/>
      </w:r>
    </w:p>
    <w:p>
      <w:pPr>
        <w:spacing w:after="100" w:before="80"/>
        <w:jc w:val="both"/>
      </w:pPr>
      <w:r>
        <w:rPr>
          <w:rFonts w:ascii="Calibri" w:cs="Calibri" w:eastAsia="Calibri" w:hAnsi="Calibri"/>
          <w:color w:val="0A0A0A"/>
          <w:sz w:val="20"/>
          <w:szCs w:val="20"/>
        </w:rPr>
        <w:t xml:space="preserve">This Rate Schedule and Fee Acknowledgment constitutes the complete fee schedule for services provided by Cargotron INC. All fees are in U.S. Dollars. Government-assessed charges (duties, taxes, fees, penalties) are NOT included and are passed through at cost. Fees are subject to change upon thirty (30) days' written notice.</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1 — STANDARD BROKERAGE FEES</w:t>
      </w:r>
    </w:p>
    <w:p>
      <w:pPr>
        <w:spacing w:after="100" w:before="0"/>
      </w:pPr>
      <w:r>
        <w:t xml:space="preserve"/>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40"/>
        <w:gridCol w:w="2160"/>
        <w:gridCol w:w="2160"/>
      </w:tblGrid>
      <w:tr>
        <w:tc>
          <w:tcPr>
            <w:tcW w:type="dxa" w:w="5040"/>
            <w:tcBorders>
              <w:top w:val="none" w:color="FFFFFF" w:sz="0"/>
              <w:left w:val="none" w:color="FFFFFF" w:sz="0"/>
              <w:bottom w:val="none" w:color="FFFFFF" w:sz="0"/>
              <w:right w:val="none" w:color="FFFFFF" w:sz="0"/>
            </w:tcBorders>
            <w:tcMar>
              <w:top w:type="dxa" w:w="100"/>
              <w:left w:type="dxa" w:w="160"/>
              <w:bottom w:type="dxa" w:w="100"/>
              <w:right w:type="dxa" w:w="80"/>
            </w:tcMar>
          </w:tcPr>
          <w:p>
            <w:r>
              <w:rPr>
                <w:rFonts w:ascii="Calibri" w:cs="Calibri" w:eastAsia="Calibri" w:hAnsi="Calibri"/>
                <w:b/>
                <w:bCs/>
                <w:color w:val="FFFFFF"/>
                <w:spacing w:val="40"/>
                <w:sz w:val="18"/>
                <w:szCs w:val="18"/>
              </w:rPr>
              <w:t xml:space="preserve">SERVICE</w:t>
            </w:r>
          </w:p>
        </w:tc>
        <w:tc>
          <w:tcPr>
            <w:tcW w:type="dxa" w:w="2160"/>
            <w:tcBorders>
              <w:top w:val="none" w:color="FFFFFF" w:sz="0"/>
              <w:left w:val="none" w:color="FFFFFF" w:sz="0"/>
              <w:bottom w:val="none" w:color="FFFFFF" w:sz="0"/>
              <w:right w:val="none" w:color="FFFFFF" w:sz="0"/>
            </w:tcBorders>
            <w:tcMar>
              <w:top w:type="dxa" w:w="100"/>
              <w:left w:type="dxa" w:w="160"/>
              <w:bottom w:type="dxa" w:w="100"/>
              <w:right w:type="dxa" w:w="80"/>
            </w:tcMar>
          </w:tcPr>
          <w:p>
            <w:r>
              <w:rPr>
                <w:rFonts w:ascii="Calibri" w:cs="Calibri" w:eastAsia="Calibri" w:hAnsi="Calibri"/>
                <w:b/>
                <w:bCs/>
                <w:color w:val="FFFFFF"/>
                <w:spacing w:val="40"/>
                <w:sz w:val="18"/>
                <w:szCs w:val="18"/>
              </w:rPr>
              <w:t xml:space="preserve">STANDARD FEE</w:t>
            </w:r>
          </w:p>
        </w:tc>
        <w:tc>
          <w:tcPr>
            <w:tcW w:type="dxa" w:w="2160"/>
            <w:tcBorders>
              <w:top w:val="none" w:color="FFFFFF" w:sz="0"/>
              <w:left w:val="none" w:color="FFFFFF" w:sz="0"/>
              <w:bottom w:val="none" w:color="FFFFFF" w:sz="0"/>
              <w:right w:val="none" w:color="FFFFFF" w:sz="0"/>
            </w:tcBorders>
            <w:tcMar>
              <w:top w:type="dxa" w:w="100"/>
              <w:left w:type="dxa" w:w="160"/>
              <w:bottom w:type="dxa" w:w="100"/>
              <w:right w:type="dxa" w:w="80"/>
            </w:tcMar>
          </w:tcPr>
          <w:p>
            <w:r>
              <w:rPr>
                <w:rFonts w:ascii="Calibri" w:cs="Calibri" w:eastAsia="Calibri" w:hAnsi="Calibri"/>
                <w:b/>
                <w:bCs/>
                <w:color w:val="FFFFFF"/>
                <w:spacing w:val="40"/>
                <w:sz w:val="18"/>
                <w:szCs w:val="18"/>
              </w:rPr>
              <w:t xml:space="preserve">NOTES</w:t>
            </w:r>
          </w:p>
        </w:tc>
      </w:tr>
      <w:tr>
        <w:tc>
          <w:tcPr>
            <w:tcW w:type="dxa" w:w="504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Customs Entry Filing — Formal Entry (Type 01)</w:t>
            </w:r>
          </w:p>
        </w:tc>
        <w:tc>
          <w:tcPr>
            <w:tcW w:type="dxa" w:w="216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$50.00 per entry</w:t>
            </w:r>
          </w:p>
        </w:tc>
        <w:tc>
          <w:tcPr>
            <w:tcW w:type="dxa" w:w="216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Includes ABI transmission</w:t>
            </w:r>
          </w:p>
        </w:tc>
      </w:tr>
      <w:tr>
        <w:tc>
          <w:tcPr>
            <w:tcW w:type="dxa" w:w="504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ISF / 10+2 Filing</w:t>
            </w:r>
          </w:p>
        </w:tc>
        <w:tc>
          <w:tcPr>
            <w:tcW w:type="dxa" w:w="216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$25.00 per ISF</w:t>
            </w:r>
          </w:p>
        </w:tc>
        <w:tc>
          <w:tcPr>
            <w:tcW w:type="dxa" w:w="216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Ocean shipments only</w:t>
            </w:r>
          </w:p>
        </w:tc>
      </w:tr>
      <w:tr>
        <w:tc>
          <w:tcPr>
            <w:tcW w:type="dxa" w:w="504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Informal Entry Filing (Type 11)</w:t>
            </w:r>
          </w:p>
        </w:tc>
        <w:tc>
          <w:tcPr>
            <w:tcW w:type="dxa" w:w="216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$__________ per entry</w:t>
            </w:r>
          </w:p>
        </w:tc>
        <w:tc>
          <w:tcPr>
            <w:tcW w:type="dxa" w:w="216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Quote on request</w:t>
            </w:r>
          </w:p>
        </w:tc>
      </w:tr>
      <w:tr>
        <w:tc>
          <w:tcPr>
            <w:tcW w:type="dxa" w:w="504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Post-Entry Amendment (CBP Form 5173)</w:t>
            </w:r>
          </w:p>
        </w:tc>
        <w:tc>
          <w:tcPr>
            <w:tcW w:type="dxa" w:w="216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$__________ per amendment</w:t>
            </w:r>
          </w:p>
        </w:tc>
        <w:tc>
          <w:tcPr>
            <w:tcW w:type="dxa" w:w="216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
            </w:r>
          </w:p>
        </w:tc>
      </w:tr>
      <w:tr>
        <w:tc>
          <w:tcPr>
            <w:tcW w:type="dxa" w:w="504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Protest Filing (CBP Form 19)</w:t>
            </w:r>
          </w:p>
        </w:tc>
        <w:tc>
          <w:tcPr>
            <w:tcW w:type="dxa" w:w="216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$__________ per protest</w:t>
            </w:r>
          </w:p>
        </w:tc>
        <w:tc>
          <w:tcPr>
            <w:tcW w:type="dxa" w:w="216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
            </w:r>
          </w:p>
        </w:tc>
      </w:tr>
      <w:tr>
        <w:tc>
          <w:tcPr>
            <w:tcW w:type="dxa" w:w="504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Prior Disclosure Preparation</w:t>
            </w:r>
          </w:p>
        </w:tc>
        <w:tc>
          <w:tcPr>
            <w:tcW w:type="dxa" w:w="216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Quote on request</w:t>
            </w:r>
          </w:p>
        </w:tc>
        <w:tc>
          <w:tcPr>
            <w:tcW w:type="dxa" w:w="216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Attorney referral may apply</w:t>
            </w:r>
          </w:p>
        </w:tc>
      </w:tr>
      <w:tr>
        <w:tc>
          <w:tcPr>
            <w:tcW w:type="dxa" w:w="504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CBP Binding Ruling Request — Broker Support</w:t>
            </w:r>
          </w:p>
        </w:tc>
        <w:tc>
          <w:tcPr>
            <w:tcW w:type="dxa" w:w="216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Quote on request</w:t>
            </w:r>
          </w:p>
        </w:tc>
        <w:tc>
          <w:tcPr>
            <w:tcW w:type="dxa" w:w="216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Broker support only</w:t>
            </w:r>
          </w:p>
        </w:tc>
      </w:tr>
      <w:tr>
        <w:tc>
          <w:tcPr>
            <w:tcW w:type="dxa" w:w="504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Duty Drawback Claim Assistance</w:t>
            </w:r>
          </w:p>
        </w:tc>
        <w:tc>
          <w:tcPr>
            <w:tcW w:type="dxa" w:w="216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Quote on request</w:t>
            </w:r>
          </w:p>
        </w:tc>
        <w:tc>
          <w:tcPr>
            <w:tcW w:type="dxa" w:w="216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Per arrangement</w:t>
            </w:r>
          </w:p>
        </w:tc>
      </w:tr>
      <w:tr>
        <w:tc>
          <w:tcPr>
            <w:tcW w:type="dxa" w:w="504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C-TPAT Application Assistance</w:t>
            </w:r>
          </w:p>
        </w:tc>
        <w:tc>
          <w:tcPr>
            <w:tcW w:type="dxa" w:w="216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Quote on request</w:t>
            </w:r>
          </w:p>
        </w:tc>
        <w:tc>
          <w:tcPr>
            <w:tcW w:type="dxa" w:w="216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Per arrangement</w:t>
            </w:r>
          </w:p>
        </w:tc>
      </w:tr>
      <w:tr>
        <w:tc>
          <w:tcPr>
            <w:tcW w:type="dxa" w:w="504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HTS Classification Research (complex items)</w:t>
            </w:r>
          </w:p>
        </w:tc>
        <w:tc>
          <w:tcPr>
            <w:tcW w:type="dxa" w:w="216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$__________ per item</w:t>
            </w:r>
          </w:p>
        </w:tc>
        <w:tc>
          <w:tcPr>
            <w:tcW w:type="dxa" w:w="216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Quote on request</w:t>
            </w:r>
          </w:p>
        </w:tc>
      </w:tr>
      <w:tr>
        <w:tc>
          <w:tcPr>
            <w:tcW w:type="dxa" w:w="504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Annual Continuous Bond Arrangement</w:t>
            </w:r>
          </w:p>
        </w:tc>
        <w:tc>
          <w:tcPr>
            <w:tcW w:type="dxa" w:w="216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$__________ per bond</w:t>
            </w:r>
          </w:p>
        </w:tc>
        <w:tc>
          <w:tcPr>
            <w:tcW w:type="dxa" w:w="216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Surety-dependent</w:t>
            </w:r>
          </w:p>
        </w:tc>
      </w:tr>
      <w:tr>
        <w:tc>
          <w:tcPr>
            <w:tcW w:type="dxa" w:w="504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Single Entry Bond Arrangement</w:t>
            </w:r>
          </w:p>
        </w:tc>
        <w:tc>
          <w:tcPr>
            <w:tcW w:type="dxa" w:w="216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$__________ per bond</w:t>
            </w:r>
          </w:p>
        </w:tc>
        <w:tc>
          <w:tcPr>
            <w:tcW w:type="dxa" w:w="216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Surety-dependent</w:t>
            </w:r>
          </w:p>
        </w:tc>
      </w:tr>
    </w:tbl>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2 — PASS-THROUGH GOVERNMENT CHARGES</w:t>
      </w:r>
    </w:p>
    <w:p>
      <w:pPr>
        <w:spacing w:after="100" w:before="0"/>
      </w:pPr>
      <w:r>
        <w:t xml:space="preserve"/>
      </w:r>
    </w:p>
    <w:p>
      <w:pPr>
        <w:spacing w:after="100" w:before="80"/>
        <w:jc w:val="both"/>
      </w:pPr>
      <w:r>
        <w:rPr>
          <w:rFonts w:ascii="Calibri" w:cs="Calibri" w:eastAsia="Calibri" w:hAnsi="Calibri"/>
          <w:color w:val="0A0A0A"/>
          <w:sz w:val="20"/>
          <w:szCs w:val="20"/>
        </w:rPr>
        <w:t xml:space="preserve">The following are government-assessed charges passed through to Client at actual cost with no markup unless otherwise specified:</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80"/>
        <w:gridCol w:w="2880"/>
      </w:tblGrid>
      <w:tr>
        <w:tc>
          <w:tcPr>
            <w:tcW w:type="dxa" w:w="6480"/>
            <w:tcBorders>
              <w:top w:val="none" w:color="FFFFFF" w:sz="0"/>
              <w:left w:val="none" w:color="FFFFFF" w:sz="0"/>
              <w:bottom w:val="none" w:color="FFFFFF" w:sz="0"/>
              <w:right w:val="none" w:color="FFFFFF" w:sz="0"/>
            </w:tcBorders>
            <w:tcMar>
              <w:top w:type="dxa" w:w="100"/>
              <w:left w:type="dxa" w:w="160"/>
              <w:bottom w:type="dxa" w:w="100"/>
              <w:right w:type="dxa" w:w="80"/>
            </w:tcMar>
          </w:tcPr>
          <w:p>
            <w:r>
              <w:rPr>
                <w:rFonts w:ascii="Calibri" w:cs="Calibri" w:eastAsia="Calibri" w:hAnsi="Calibri"/>
                <w:b/>
                <w:bCs/>
                <w:color w:val="FFFFFF"/>
                <w:spacing w:val="40"/>
                <w:sz w:val="18"/>
                <w:szCs w:val="18"/>
              </w:rPr>
              <w:t xml:space="preserve">CHARGE TYPE</w:t>
            </w:r>
          </w:p>
        </w:tc>
        <w:tc>
          <w:tcPr>
            <w:tcW w:type="dxa" w:w="2880"/>
            <w:tcBorders>
              <w:top w:val="none" w:color="FFFFFF" w:sz="0"/>
              <w:left w:val="none" w:color="FFFFFF" w:sz="0"/>
              <w:bottom w:val="none" w:color="FFFFFF" w:sz="0"/>
              <w:right w:val="none" w:color="FFFFFF" w:sz="0"/>
            </w:tcBorders>
            <w:tcMar>
              <w:top w:type="dxa" w:w="100"/>
              <w:left w:type="dxa" w:w="160"/>
              <w:bottom w:type="dxa" w:w="100"/>
              <w:right w:type="dxa" w:w="80"/>
            </w:tcMar>
          </w:tcPr>
          <w:p>
            <w:r>
              <w:rPr>
                <w:rFonts w:ascii="Calibri" w:cs="Calibri" w:eastAsia="Calibri" w:hAnsi="Calibri"/>
                <w:b/>
                <w:bCs/>
                <w:color w:val="FFFFFF"/>
                <w:spacing w:val="40"/>
                <w:sz w:val="18"/>
                <w:szCs w:val="18"/>
              </w:rPr>
              <w:t xml:space="preserve">RATE / BASIS</w:t>
            </w:r>
          </w:p>
        </w:tc>
      </w:tr>
      <w:tr>
        <w:tc>
          <w:tcPr>
            <w:tcW w:type="dxa" w:w="648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U.S. Customs Duties</w:t>
            </w:r>
          </w:p>
        </w:tc>
        <w:tc>
          <w:tcPr>
            <w:tcW w:type="dxa" w:w="288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Per CBP liquidation at applicable HTSUS rate</w:t>
            </w:r>
          </w:p>
        </w:tc>
      </w:tr>
      <w:tr>
        <w:tc>
          <w:tcPr>
            <w:tcW w:type="dxa" w:w="648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Merchandise Processing Fee (MPF)</w:t>
            </w:r>
          </w:p>
        </w:tc>
        <w:tc>
          <w:tcPr>
            <w:tcW w:type="dxa" w:w="288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0.3464% of entered value (min $32.71 / max $614.35)</w:t>
            </w:r>
          </w:p>
        </w:tc>
      </w:tr>
      <w:tr>
        <w:tc>
          <w:tcPr>
            <w:tcW w:type="dxa" w:w="648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Harbor Maintenance Fee (HMF)</w:t>
            </w:r>
          </w:p>
        </w:tc>
        <w:tc>
          <w:tcPr>
            <w:tcW w:type="dxa" w:w="288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0.1250% of entered value — ocean shipments only</w:t>
            </w:r>
          </w:p>
        </w:tc>
      </w:tr>
      <w:tr>
        <w:tc>
          <w:tcPr>
            <w:tcW w:type="dxa" w:w="648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Anti-Dumping / Countervailing Duties (AD/CVD)</w:t>
            </w:r>
          </w:p>
        </w:tc>
        <w:tc>
          <w:tcPr>
            <w:tcW w:type="dxa" w:w="288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Per CBP AD/CVD order — varies by case</w:t>
            </w:r>
          </w:p>
        </w:tc>
      </w:tr>
      <w:tr>
        <w:tc>
          <w:tcPr>
            <w:tcW w:type="dxa" w:w="648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CBP Exam Fee (VACIS / CET / Tailgate)</w:t>
            </w:r>
          </w:p>
        </w:tc>
        <w:tc>
          <w:tcPr>
            <w:tcW w:type="dxa" w:w="288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Actual cost — varies by port and exam type</w:t>
            </w:r>
          </w:p>
        </w:tc>
      </w:tr>
      <w:tr>
        <w:tc>
          <w:tcPr>
            <w:tcW w:type="dxa" w:w="648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FDA Prior Notice / Registration Fees</w:t>
            </w:r>
          </w:p>
        </w:tc>
        <w:tc>
          <w:tcPr>
            <w:tcW w:type="dxa" w:w="288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As assessed — varies by product</w:t>
            </w:r>
          </w:p>
        </w:tc>
      </w:tr>
      <w:tr>
        <w:tc>
          <w:tcPr>
            <w:tcW w:type="dxa" w:w="648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USDA Inspection / Permit Fees</w:t>
            </w:r>
          </w:p>
        </w:tc>
        <w:tc>
          <w:tcPr>
            <w:tcW w:type="dxa" w:w="288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As assessed — varies by commodity</w:t>
            </w:r>
          </w:p>
        </w:tc>
      </w:tr>
    </w:tbl>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3 — BILLING &amp; PAYMENT TERMS</w:t>
      </w:r>
    </w:p>
    <w:p>
      <w:pPr>
        <w:spacing w:after="100" w:before="0"/>
      </w:pPr>
      <w:r>
        <w:t xml:space="preserve"/>
      </w:r>
    </w:p>
    <w:p>
      <w:pPr>
        <w:pStyle w:val="ListParagraph"/>
        <w:numPr>
          <w:ilvl w:val="0"/>
          <w:numId w:val="2"/>
        </w:numPr>
        <w:spacing w:after="60" w:before="60"/>
      </w:pPr>
      <w:r>
        <w:rPr>
          <w:rFonts w:ascii="Calibri" w:cs="Calibri" w:eastAsia="Calibri" w:hAnsi="Calibri"/>
          <w:color w:val="0A0A0A"/>
          <w:sz w:val="20"/>
          <w:szCs w:val="20"/>
        </w:rPr>
        <w:t xml:space="preserve">Invoices issued within two (2) business days of entry release or CBP liquidation, whichever is earlier.</w:t>
      </w:r>
    </w:p>
    <w:p>
      <w:pPr>
        <w:pStyle w:val="ListParagraph"/>
        <w:numPr>
          <w:ilvl w:val="0"/>
          <w:numId w:val="2"/>
        </w:numPr>
        <w:spacing w:after="60" w:before="60"/>
      </w:pPr>
      <w:r>
        <w:rPr>
          <w:rFonts w:ascii="Calibri" w:cs="Calibri" w:eastAsia="Calibri" w:hAnsi="Calibri"/>
          <w:color w:val="0A0A0A"/>
          <w:sz w:val="20"/>
          <w:szCs w:val="20"/>
        </w:rPr>
        <w:t xml:space="preserve">Standard payment terms: Net 30 from invoice date unless otherwise agreed in writing.</w:t>
      </w:r>
    </w:p>
    <w:p>
      <w:pPr>
        <w:pStyle w:val="ListParagraph"/>
        <w:numPr>
          <w:ilvl w:val="0"/>
          <w:numId w:val="2"/>
        </w:numPr>
        <w:spacing w:after="60" w:before="60"/>
      </w:pPr>
      <w:r>
        <w:rPr>
          <w:rFonts w:ascii="Calibri" w:cs="Calibri" w:eastAsia="Calibri" w:hAnsi="Calibri"/>
          <w:color w:val="0A0A0A"/>
          <w:sz w:val="20"/>
          <w:szCs w:val="20"/>
        </w:rPr>
        <w:t xml:space="preserve">Duty advances: due within five (5) business days unless F-04 specifies extended terms.</w:t>
      </w:r>
    </w:p>
    <w:p>
      <w:pPr>
        <w:pStyle w:val="ListParagraph"/>
        <w:numPr>
          <w:ilvl w:val="0"/>
          <w:numId w:val="2"/>
        </w:numPr>
        <w:spacing w:after="60" w:before="60"/>
      </w:pPr>
      <w:r>
        <w:rPr>
          <w:rFonts w:ascii="Calibri" w:cs="Calibri" w:eastAsia="Calibri" w:hAnsi="Calibri"/>
          <w:color w:val="0A0A0A"/>
          <w:sz w:val="20"/>
          <w:szCs w:val="20"/>
        </w:rPr>
        <w:t xml:space="preserve">Payments accepted: ACH, wire transfer, or check payable to CARGOTRON INC.</w:t>
      </w:r>
    </w:p>
    <w:p>
      <w:pPr>
        <w:pStyle w:val="ListParagraph"/>
        <w:numPr>
          <w:ilvl w:val="0"/>
          <w:numId w:val="2"/>
        </w:numPr>
        <w:spacing w:after="60" w:before="60"/>
      </w:pPr>
      <w:r>
        <w:rPr>
          <w:rFonts w:ascii="Calibri" w:cs="Calibri" w:eastAsia="Calibri" w:hAnsi="Calibri"/>
          <w:color w:val="0A0A0A"/>
          <w:sz w:val="20"/>
          <w:szCs w:val="20"/>
        </w:rPr>
        <w:t xml:space="preserve">Past-due balances accrue interest at 1.5% per month (18% per annum).</w:t>
      </w:r>
    </w:p>
    <w:p>
      <w:pPr>
        <w:pStyle w:val="ListParagraph"/>
        <w:numPr>
          <w:ilvl w:val="0"/>
          <w:numId w:val="2"/>
        </w:numPr>
        <w:spacing w:after="60" w:before="60"/>
      </w:pPr>
      <w:r>
        <w:rPr>
          <w:rFonts w:ascii="Calibri" w:cs="Calibri" w:eastAsia="Calibri" w:hAnsi="Calibri"/>
          <w:color w:val="0A0A0A"/>
          <w:sz w:val="20"/>
          <w:szCs w:val="20"/>
        </w:rPr>
        <w:t xml:space="preserve">Client is responsible for all collection costs including reasonable attorneys' fees.</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4 — FEE ADJUSTMENT NOTICE</w:t>
      </w:r>
    </w:p>
    <w:p>
      <w:pPr>
        <w:spacing w:after="100" w:before="0"/>
      </w:pPr>
      <w:r>
        <w:t xml:space="preserve"/>
      </w:r>
    </w:p>
    <w:p>
      <w:pPr>
        <w:spacing w:after="100" w:before="80"/>
        <w:jc w:val="both"/>
      </w:pPr>
      <w:r>
        <w:rPr>
          <w:rFonts w:ascii="Calibri" w:cs="Calibri" w:eastAsia="Calibri" w:hAnsi="Calibri"/>
          <w:color w:val="0A0A0A"/>
          <w:sz w:val="20"/>
          <w:szCs w:val="20"/>
        </w:rPr>
        <w:t xml:space="preserve">Cargotron INC. reserves the right to adjust fees upon thirty (30) days' written notice to Client. Continued use of Broker's services following the effective date of any fee adjustment constitutes Client's acceptance of the revised schedule.</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5 — CLIENT ACKNOWLEDGMENT</w:t>
      </w:r>
    </w:p>
    <w:p>
      <w:pPr>
        <w:spacing w:after="100" w:before="0"/>
      </w:pPr>
      <w:r>
        <w:t xml:space="preserve"/>
      </w:r>
    </w:p>
    <w:p>
      <w:pPr>
        <w:spacing w:after="100" w:before="80"/>
        <w:jc w:val="both"/>
      </w:pPr>
      <w:r>
        <w:rPr>
          <w:rFonts w:ascii="Calibri" w:cs="Calibri" w:eastAsia="Calibri" w:hAnsi="Calibri"/>
          <w:color w:val="0A0A0A"/>
          <w:sz w:val="20"/>
          <w:szCs w:val="20"/>
        </w:rPr>
        <w:t xml:space="preserve">The undersigned Client acknowledges receipt of this Rate Schedule, confirms understanding of all fees listed herein, and agrees to be bound by the billing and payment terms set forth above.</w:t>
      </w:r>
    </w:p>
    <w:p>
      <w:pPr>
        <w:spacing w:after="280" w:before="0"/>
      </w:pPr>
      <w:r>
        <w:t xml:space="preserve"/>
      </w:r>
    </w:p>
    <w:p>
      <w:pPr>
        <w:pBdr>
          <w:bottom w:val="single" w:color="D0D8E0" w:sz="2" w:space="1"/>
        </w:pBdr>
        <w:spacing w:after="0" w:before="0"/>
      </w:pPr>
      <w:r>
        <w:t xml:space="preserve"/>
      </w:r>
    </w:p>
    <w:p>
      <w:pPr>
        <w:spacing w:after="200" w:before="0"/>
      </w:pPr>
      <w:r>
        <w:t xml:space="preserve"/>
      </w:r>
    </w:p>
    <w:p>
      <w:pPr>
        <w:spacing w:after="200" w:before="0"/>
        <w:jc w:val="center"/>
      </w:pPr>
      <w:r>
        <w:rPr>
          <w:rFonts w:ascii="Calibri" w:cs="Calibri" w:eastAsia="Calibri" w:hAnsi="Calibri"/>
          <w:b/>
          <w:bCs/>
          <w:color w:val="2E6DA4"/>
          <w:spacing w:val="100"/>
          <w:sz w:val="18"/>
          <w:szCs w:val="18"/>
        </w:rPr>
        <w:t xml:space="preserve">EXECUTION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40"/>
        <w:gridCol w:w="480"/>
        <w:gridCol w:w="4440"/>
      </w:tblGrid>
      <w:tr>
        <w:tc>
          <w:tcPr>
            <w:tcW w:type="dxa" w:w="4440"/>
            <w:tcBorders>
              <w:top w:val="none" w:color="FFFFFF" w:sz="0"/>
              <w:left w:val="none" w:color="FFFFFF" w:sz="0"/>
              <w:bottom w:val="none" w:color="FFFFFF" w:sz="0"/>
              <w:right w:val="none" w:color="FFFFFF" w:sz="0"/>
            </w:tcBorders>
            <w:tcMar>
              <w:top w:type="dxa" w:w="80"/>
              <w:left w:type="dxa" w:w="160"/>
              <w:bottom w:type="dxa" w:w="80"/>
              <w:right w:type="dxa" w:w="80"/>
            </w:tcMar>
          </w:tcPr>
          <w:p>
            <w:r>
              <w:rPr>
                <w:rFonts w:ascii="Calibri" w:cs="Calibri" w:eastAsia="Calibri" w:hAnsi="Calibri"/>
                <w:b/>
                <w:bCs/>
                <w:color w:val="FFFFFF"/>
                <w:spacing w:val="40"/>
                <w:sz w:val="16"/>
                <w:szCs w:val="16"/>
              </w:rPr>
              <w:t xml:space="preserve">CLIENT — AUTHORIZED REPRESENTATIVE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80"/>
              <w:left w:type="dxa" w:w="160"/>
              <w:bottom w:type="dxa" w:w="80"/>
              <w:right w:type="dxa" w:w="80"/>
            </w:tcMar>
          </w:tcPr>
          <w:p>
            <w:r>
              <w:rPr>
                <w:rFonts w:ascii="Calibri" w:cs="Calibri" w:eastAsia="Calibri" w:hAnsi="Calibri"/>
                <w:b/>
                <w:bCs/>
                <w:color w:val="FFFFFF"/>
                <w:spacing w:val="40"/>
                <w:sz w:val="16"/>
                <w:szCs w:val="16"/>
              </w:rPr>
              <w:t xml:space="preserve">CARGOTRON INC.</w:t>
            </w:r>
          </w:p>
        </w:tc>
      </w:tr>
      <w:tr>
        <w:tc>
          <w:tcPr>
            <w:tcW w:type="dxa" w:w="4440"/>
            <w:tcBorders>
              <w:top w:val="none" w:color="FFFFFF" w:sz="0"/>
              <w:left w:val="none" w:color="FFFFFF" w:sz="0"/>
              <w:bottom w:val="none" w:color="FFFFFF" w:sz="0"/>
              <w:right w:val="none" w:color="FFFFFF" w:sz="0"/>
            </w:tcBorders>
            <w:tcMar>
              <w:top w:type="dxa" w:w="200"/>
              <w:left w:type="dxa" w:w="160"/>
              <w:bottom w:type="dxa" w:w="40"/>
              <w:right w:type="dxa" w:w="80"/>
            </w:tcMar>
          </w:tcPr>
          <w:p>
            <w:pPr>
              <w:pBdr>
                <w:bottom w:val="single" w:color="0D1B2A" w:sz="4"/>
              </w:pBdr>
            </w:pPr>
            <w:r>
              <w:rPr>
                <w:rFonts w:ascii="Calibri" w:cs="Calibri" w:eastAsia="Calibri" w:hAnsi="Calibri"/>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200"/>
              <w:left w:type="dxa" w:w="160"/>
              <w:bottom w:type="dxa" w:w="40"/>
              <w:right w:type="dxa" w:w="80"/>
            </w:tcMar>
          </w:tcPr>
          <w:p>
            <w:pPr>
              <w:pBdr>
                <w:bottom w:val="single" w:color="0D1B2A" w:sz="4"/>
              </w:pBdr>
            </w:pPr>
            <w:r>
              <w:rPr>
                <w:rFonts w:ascii="Calibri" w:cs="Calibri" w:eastAsia="Calibri" w:hAnsi="Calibri"/>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Calibri" w:cs="Calibri" w:eastAsia="Calibri" w:hAnsi="Calibri"/>
                <w:i/>
                <w:iCs/>
                <w:color w:val="5A6A7A"/>
                <w:sz w:val="16"/>
                <w:szCs w:val="16"/>
              </w:rPr>
              <w:t xml:space="preserve">Authorized Signature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Calibri" w:cs="Calibri" w:eastAsia="Calibri" w:hAnsi="Calibri"/>
                <w:i/>
                <w:iCs/>
                <w:color w:val="5A6A7A"/>
                <w:sz w:val="16"/>
                <w:szCs w:val="16"/>
              </w:rPr>
              <w:t xml:space="preserve">Authorized Signature</w:t>
            </w:r>
          </w:p>
        </w:tc>
      </w:tr>
      <w:tr>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Calibri" w:cs="Calibri" w:eastAsia="Calibri" w:hAnsi="Calibri"/>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Calibri" w:cs="Calibri" w:eastAsia="Calibri" w:hAnsi="Calibri"/>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Calibri" w:cs="Calibri" w:eastAsia="Calibri" w:hAnsi="Calibri"/>
                <w:i/>
                <w:iCs/>
                <w:color w:val="5A6A7A"/>
                <w:sz w:val="16"/>
                <w:szCs w:val="16"/>
              </w:rPr>
              <w:t xml:space="preserve">Printed Name &amp; Title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Calibri" w:cs="Calibri" w:eastAsia="Calibri" w:hAnsi="Calibri"/>
                <w:i/>
                <w:iCs/>
                <w:color w:val="5A6A7A"/>
                <w:sz w:val="16"/>
                <w:szCs w:val="16"/>
              </w:rPr>
              <w:t xml:space="preserve">Printed Name &amp; Title</w:t>
            </w:r>
          </w:p>
        </w:tc>
      </w:tr>
      <w:tr>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Calibri" w:cs="Calibri" w:eastAsia="Calibri" w:hAnsi="Calibri"/>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Calibri" w:cs="Calibri" w:eastAsia="Calibri" w:hAnsi="Calibri"/>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0"/>
              <w:right w:type="dxa" w:w="80"/>
            </w:tcMar>
          </w:tcPr>
          <w:p>
            <w:r>
              <w:rPr>
                <w:rFonts w:ascii="Calibri" w:cs="Calibri" w:eastAsia="Calibri" w:hAnsi="Calibri"/>
                <w:i/>
                <w:iCs/>
                <w:color w:val="5A6A7A"/>
                <w:sz w:val="16"/>
                <w:szCs w:val="16"/>
              </w:rPr>
              <w:t xml:space="preserve">Date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0"/>
              <w:right w:type="dxa" w:w="80"/>
            </w:tcMar>
          </w:tcPr>
          <w:p>
            <w:r>
              <w:rPr>
                <w:rFonts w:ascii="Calibri" w:cs="Calibri" w:eastAsia="Calibri" w:hAnsi="Calibri"/>
                <w:i/>
                <w:iCs/>
                <w:color w:val="5A6A7A"/>
                <w:sz w:val="16"/>
                <w:szCs w:val="16"/>
              </w:rPr>
              <w:t xml:space="preserve">Date</w:t>
            </w:r>
          </w:p>
        </w:tc>
      </w:tr>
    </w:tbl>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6DA4" w:sz="4" w:space="4"/>
      </w:pBd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0"/>
            <w:left w:type="dxa" w:w="0"/>
            <w:bottom w:type="dxa" w:w="0"/>
            <w:right w:type="dxa" w:w="0"/>
          </w:tcMar>
        </w:tcPr>
        <w:p>
          <w:r>
            <w:rPr>
              <w:rFonts w:ascii="Calibri" w:cs="Calibri" w:eastAsia="Calibri" w:hAnsi="Calibri"/>
              <w:color w:val="5A6A7A"/>
              <w:sz w:val="16"/>
              <w:szCs w:val="16"/>
            </w:rPr>
            <w:t xml:space="preserve">CARGOTRON INC.  ·  F-07  ·  CONFIDENTIAL</w:t>
          </w:r>
        </w:p>
      </w:tc>
      <w:tc>
        <w:tcPr>
          <w:tcW w:type="dxa" w:w="4680"/>
          <w:tcBorders>
            <w:top w:val="none" w:color="FFFFFF" w:sz="0"/>
            <w:left w:val="none" w:color="FFFFFF" w:sz="0"/>
            <w:bottom w:val="none" w:color="FFFFFF" w:sz="0"/>
            <w:right w:val="none" w:color="FFFFFF" w:sz="0"/>
          </w:tcBorders>
          <w:tcMar>
            <w:top w:type="dxa" w:w="0"/>
            <w:left w:type="dxa" w:w="0"/>
            <w:bottom w:type="dxa" w:w="0"/>
            <w:right w:type="dxa" w:w="0"/>
          </w:tcMar>
        </w:tcPr>
        <w:p>
          <w:pPr>
            <w:jc w:val="right"/>
          </w:pPr>
          <w:r>
            <w:rPr>
              <w:rFonts w:ascii="Calibri" w:cs="Calibri" w:eastAsia="Calibri" w:hAnsi="Calibri"/>
              <w:color w:val="5A6A7A"/>
              <w:sz w:val="16"/>
              <w:szCs w:val="16"/>
            </w:rPr>
            <w:t xml:space="preserve">Page </w:t>
          </w:r>
          <w:r>
            <w:rPr>
              <w:rFonts w:ascii="Calibri" w:cs="Calibri" w:eastAsia="Calibri" w:hAnsi="Calibri"/>
              <w:color w:val="5A6A7A"/>
              <w:sz w:val="16"/>
              <w:szCs w:val="16"/>
            </w:rPr>
            <w:fldChar w:fldCharType="begin"/>
            <w:instrText xml:space="preserve">PAGE</w:instrText>
            <w:fldChar w:fldCharType="separate"/>
            <w:fldChar w:fldCharType="end"/>
          </w:r>
          <w:r>
            <w:rPr>
              <w:rFonts w:ascii="Calibri" w:cs="Calibri" w:eastAsia="Calibri" w:hAnsi="Calibri"/>
              <w:color w:val="5A6A7A"/>
              <w:sz w:val="16"/>
              <w:szCs w:val="16"/>
            </w:rPr>
            <w:t xml:space="preserve"> of </w:t>
          </w:r>
          <w:r>
            <w:rPr>
              <w:rFonts w:ascii="Calibri" w:cs="Calibri" w:eastAsia="Calibri" w:hAnsi="Calibri"/>
              <w:color w:val="5A6A7A"/>
              <w:sz w:val="16"/>
              <w:szCs w:val="16"/>
            </w:rPr>
            <w:fldChar w:fldCharType="begin"/>
            <w:instrText xml:space="preserve">NUMPAGES</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60" w:before="60"/>
        <w:ind w:left="60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logo.jpg"/></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2026-05-25T14:16:22.292Z</dcterms:created>
  <dcterms:modified xsi:type="dcterms:W3CDTF">2026-05-25T14:16:22.292Z</dcterms:modified>
</cp:coreProperties>
</file>

<file path=docProps/custom.xml><?xml version="1.0" encoding="utf-8"?>
<Properties xmlns="http://schemas.openxmlformats.org/officeDocument/2006/custom-properties" xmlns:vt="http://schemas.openxmlformats.org/officeDocument/2006/docPropsVTypes"/>
</file>