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D1B2A" w:val="clear"/>
        <w:spacing w:after="0" w:before="0"/>
      </w:pPr>
      <w:r>
        <w:rPr>
          <w:rFonts w:ascii="Arial" w:cs="Arial" w:eastAsia="Arial" w:hAnsi="Arial"/>
          <w:sz w:val="8"/>
          <w:szCs w:val="8"/>
        </w:rPr>
        <w:t xml:space="preserve">  </w:t>
      </w:r>
    </w:p>
    <w:p>
      <w:pPr>
        <w:spacing w:after="0" w:before="280"/>
        <w:jc w:val="left"/>
      </w:pPr>
      <w:r>
        <w:rPr>
          <w:rFonts w:ascii="Arial" w:cs="Arial" w:eastAsia="Arial" w:hAnsi="Arial"/>
          <w:b/>
          <w:bCs/>
          <w:color w:val="0D1B2A"/>
          <w:spacing w:val="80"/>
          <w:sz w:val="40"/>
          <w:szCs w:val="40"/>
        </w:rPr>
        <w:t xml:space="preserve">CARGOTRON INC.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Pr>
          <w:p>
            <w:pPr>
              <w:spacing w:after="0" w:before="40"/>
            </w:pPr>
            <w:r>
              <w:rPr>
                <w:rFonts w:ascii="Arial" w:cs="Arial" w:eastAsia="Arial" w:hAnsi="Arial"/>
                <w:b/>
                <w:bCs/>
                <w:color w:val="2E6DA4"/>
                <w:spacing w:val="120"/>
                <w:sz w:val="16"/>
                <w:szCs w:val="16"/>
              </w:rPr>
              <w:t xml:space="preserve">CONQUER YOUR CARGO</w:t>
            </w:r>
          </w:p>
          <w:p>
            <w:pPr>
              <w:spacing w:after="0" w:before="20"/>
            </w:pPr>
            <w:r>
              <w:rPr>
                <w:rFonts w:ascii="Arial" w:cs="Arial" w:eastAsia="Arial" w:hAnsi="Arial"/>
                <w:color w:val="5A6A7A"/>
                <w:sz w:val="16"/>
                <w:szCs w:val="16"/>
              </w:rPr>
              <w:t xml:space="preserve">Licensed U.S. Customs Broker  ·  Long Beach, California</w:t>
            </w:r>
          </w:p>
        </w:tc>
        <w:tc>
          <w:tcPr>
            <w:tcW w:type="dxa" w:w="3960"/>
            <w:tcBorders>
              <w:top w:val="none" w:color="FFFFFF" w:sz="0"/>
              <w:left w:val="none" w:color="FFFFFF" w:sz="0"/>
              <w:bottom w:val="none" w:color="FFFFFF" w:sz="0"/>
              <w:right w:val="none" w:color="FFFFFF" w:sz="0"/>
            </w:tcBorders>
            <w:vAlign w:val="bottom"/>
          </w:tcPr>
          <w:p>
            <w:pPr>
              <w:spacing w:after="0" w:before="0"/>
              <w:jc w:val="right"/>
            </w:pPr>
            <w:r>
              <w:rPr>
                <w:rFonts w:ascii="Arial" w:cs="Arial" w:eastAsia="Arial" w:hAnsi="Arial"/>
                <w:color w:val="5A6A7A"/>
                <w:sz w:val="16"/>
                <w:szCs w:val="16"/>
              </w:rPr>
              <w:t xml:space="preserve">CBP License No. 33956  ·  www.cargotron-us.com</w:t>
            </w:r>
          </w:p>
        </w:tc>
      </w:tr>
    </w:tbl>
    <w:p>
      <w:pPr>
        <w:pBdr>
          <w:bottom w:val="single" w:color="0D1B2A" w:sz="18" w:space="1"/>
        </w:pBdr>
        <w:spacing w:after="0" w:before="120"/>
      </w:pPr>
      <w:r>
        <w:t xml:space="preserve"/>
      </w:r>
    </w:p>
    <w:p>
      <w:pPr>
        <w:pBdr>
          <w:bottom w:val="single" w:color="2E6DA4" w:sz="4" w:space="4"/>
        </w:pBdr>
        <w:spacing w:after="0" w:before="0"/>
      </w:pPr>
      <w:r>
        <w:t xml:space="preserve"/>
      </w:r>
    </w:p>
    <w:p>
      <w:pPr>
        <w:spacing w:after="240" w:before="0"/>
      </w:pPr>
      <w:r>
        <w:t xml:space="preserve"/>
      </w:r>
    </w:p>
    <w:p>
      <w:pPr>
        <w:spacing w:after="60" w:before="0"/>
        <w:jc w:val="left"/>
      </w:pPr>
      <w:r>
        <w:rPr>
          <w:rFonts w:ascii="Arial" w:cs="Arial" w:eastAsia="Arial" w:hAnsi="Arial"/>
          <w:b/>
          <w:bCs/>
          <w:color w:val="0D1B2A"/>
          <w:spacing w:val="60"/>
          <w:sz w:val="32"/>
          <w:szCs w:val="32"/>
        </w:rPr>
        <w:t xml:space="preserve">CLIENT SERVICE AGREEMENT</w:t>
      </w:r>
    </w:p>
    <w:p>
      <w:pPr>
        <w:spacing w:after="100" w:before="0"/>
      </w:pPr>
      <w:r>
        <w:rPr>
          <w:rFonts w:ascii="Arial" w:cs="Arial" w:eastAsia="Arial" w:hAnsi="Arial"/>
          <w:i/>
          <w:iCs/>
          <w:color w:val="5A6A7A"/>
          <w:sz w:val="20"/>
          <w:szCs w:val="20"/>
        </w:rPr>
        <w:t xml:space="preserve">Broker–Importer of Record Services Contract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F-01  ·  Rev. 1.0</w:t>
            </w:r>
          </w:p>
        </w:tc>
        <w:tc>
          <w:tcPr>
            <w:tcW w:type="dxa" w:w="4680"/>
            <w:tcBorders>
              <w:top w:val="none" w:color="FFFFFF" w:sz="0"/>
              <w:left w:val="none" w:color="FFFFFF" w:sz="0"/>
              <w:bottom w:val="none" w:color="FFFFFF" w:sz="0"/>
              <w:right w:val="none" w:color="FFFFFF" w:sz="0"/>
            </w:tcBorders>
            <w:shd w:fill="0D1B2A" w:val="clear"/>
            <w:tcMar>
              <w:top w:type="dxa" w:w="80"/>
              <w:left w:type="dxa" w:w="80"/>
              <w:bottom w:type="dxa" w:w="80"/>
              <w:right w:type="dxa" w:w="160"/>
            </w:tcMar>
          </w:tcPr>
          <w:p>
            <w:pPr>
              <w:jc w:val="right"/>
            </w:pPr>
            <w:r>
              <w:rPr>
                <w:rFonts w:ascii="Arial" w:cs="Arial" w:eastAsia="Arial" w:hAnsi="Arial"/>
                <w:color w:val="8A9AAA"/>
                <w:sz w:val="16"/>
                <w:szCs w:val="16"/>
              </w:rPr>
              <w:t xml:space="preserve">EFFECTIVE DATE:  ___________________</w:t>
            </w:r>
          </w:p>
        </w:tc>
      </w:tr>
    </w:tbl>
    <w:p>
      <w:pPr>
        <w:spacing w:after="240" w:before="0"/>
      </w:pPr>
      <w:r>
        <w:t xml:space="preserve"/>
      </w:r>
    </w:p>
    <w:p>
      <w:pPr>
        <w:spacing w:after="100" w:before="80"/>
        <w:jc w:val="both"/>
      </w:pPr>
      <w:r>
        <w:rPr>
          <w:rFonts w:ascii="Arial" w:cs="Arial" w:eastAsia="Arial" w:hAnsi="Arial"/>
          <w:color w:val="0A0A0A"/>
          <w:sz w:val="20"/>
          <w:szCs w:val="20"/>
        </w:rPr>
        <w:t xml:space="preserve">This Client Service Agreement ("Agreement") is entered into as of the Effective Date above, between CARGOTRON INC., a Licensed U.S. Customs Broker, CBP License No. 33956, Long Beach, California ("Broker"), and the Client identified below ("Client").</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PARTIES — CLIENT IDENTIFICATION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Legal Business Name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DBA / Trade Name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Business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City · State · ZIP</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Federal EIN / Tax ID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CBP Importer of Record No.</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Contact Name &amp; Title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Phone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Email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1 — SCOPE OF SERVICES</w:t>
      </w:r>
    </w:p>
    <w:p>
      <w:pPr>
        <w:spacing w:after="100" w:before="0"/>
      </w:pPr>
      <w:r>
        <w:t xml:space="preserve"/>
      </w:r>
    </w:p>
    <w:p>
      <w:pPr>
        <w:spacing w:after="100" w:before="80"/>
        <w:jc w:val="both"/>
      </w:pPr>
      <w:r>
        <w:rPr>
          <w:rFonts w:ascii="Arial" w:cs="Arial" w:eastAsia="Arial" w:hAnsi="Arial"/>
          <w:color w:val="0A0A0A"/>
          <w:sz w:val="20"/>
          <w:szCs w:val="20"/>
        </w:rPr>
        <w:t xml:space="preserve">Broker agrees to provide the following services on behalf of Client, subject to the terms of this Agreement:</w:t>
      </w:r>
    </w:p>
    <w:p>
      <w:pPr>
        <w:pStyle w:val="ListParagraph"/>
        <w:numPr>
          <w:ilvl w:val="0"/>
          <w:numId w:val="2"/>
        </w:numPr>
        <w:spacing w:after="60" w:before="60"/>
      </w:pPr>
      <w:r>
        <w:rPr>
          <w:rFonts w:ascii="Arial" w:cs="Arial" w:eastAsia="Arial" w:hAnsi="Arial"/>
          <w:color w:val="0A0A0A"/>
          <w:sz w:val="20"/>
          <w:szCs w:val="20"/>
        </w:rPr>
        <w:t xml:space="preserve">Preparation and electronic filing of U.S. Customs entry documentation via ACE (Automated Commercial Environment)</w:t>
      </w:r>
    </w:p>
    <w:p>
      <w:pPr>
        <w:pStyle w:val="ListParagraph"/>
        <w:numPr>
          <w:ilvl w:val="0"/>
          <w:numId w:val="2"/>
        </w:numPr>
        <w:spacing w:after="60" w:before="60"/>
      </w:pPr>
      <w:r>
        <w:rPr>
          <w:rFonts w:ascii="Arial" w:cs="Arial" w:eastAsia="Arial" w:hAnsi="Arial"/>
          <w:color w:val="0A0A0A"/>
          <w:sz w:val="20"/>
          <w:szCs w:val="20"/>
        </w:rPr>
        <w:t xml:space="preserve">HTS classification review and duty calculation</w:t>
      </w:r>
    </w:p>
    <w:p>
      <w:pPr>
        <w:pStyle w:val="ListParagraph"/>
        <w:numPr>
          <w:ilvl w:val="0"/>
          <w:numId w:val="2"/>
        </w:numPr>
        <w:spacing w:after="60" w:before="60"/>
      </w:pPr>
      <w:r>
        <w:rPr>
          <w:rFonts w:ascii="Arial" w:cs="Arial" w:eastAsia="Arial" w:hAnsi="Arial"/>
          <w:color w:val="0A0A0A"/>
          <w:sz w:val="20"/>
          <w:szCs w:val="20"/>
        </w:rPr>
        <w:t xml:space="preserve">Importer Security Filing (ISF / 10+2) submission for ocean shipments</w:t>
      </w:r>
    </w:p>
    <w:p>
      <w:pPr>
        <w:pStyle w:val="ListParagraph"/>
        <w:numPr>
          <w:ilvl w:val="0"/>
          <w:numId w:val="2"/>
        </w:numPr>
        <w:spacing w:after="60" w:before="60"/>
      </w:pPr>
      <w:r>
        <w:rPr>
          <w:rFonts w:ascii="Arial" w:cs="Arial" w:eastAsia="Arial" w:hAnsi="Arial"/>
          <w:color w:val="0A0A0A"/>
          <w:sz w:val="20"/>
          <w:szCs w:val="20"/>
        </w:rPr>
        <w:t xml:space="preserve">Partner Government Agency (PGA) coordination — FDA, USDA, EPA, FWS, CPSC as applicable</w:t>
      </w:r>
    </w:p>
    <w:p>
      <w:pPr>
        <w:pStyle w:val="ListParagraph"/>
        <w:numPr>
          <w:ilvl w:val="0"/>
          <w:numId w:val="2"/>
        </w:numPr>
        <w:spacing w:after="60" w:before="60"/>
      </w:pPr>
      <w:r>
        <w:rPr>
          <w:rFonts w:ascii="Arial" w:cs="Arial" w:eastAsia="Arial" w:hAnsi="Arial"/>
          <w:color w:val="0A0A0A"/>
          <w:sz w:val="20"/>
          <w:szCs w:val="20"/>
        </w:rPr>
        <w:t xml:space="preserve">Customs bond procurement and monitoring (single-entry or continuous bond)</w:t>
      </w:r>
    </w:p>
    <w:p>
      <w:pPr>
        <w:pStyle w:val="ListParagraph"/>
        <w:numPr>
          <w:ilvl w:val="0"/>
          <w:numId w:val="2"/>
        </w:numPr>
        <w:spacing w:after="60" w:before="60"/>
      </w:pPr>
      <w:r>
        <w:rPr>
          <w:rFonts w:ascii="Arial" w:cs="Arial" w:eastAsia="Arial" w:hAnsi="Arial"/>
          <w:color w:val="0A0A0A"/>
          <w:sz w:val="20"/>
          <w:szCs w:val="20"/>
        </w:rPr>
        <w:t xml:space="preserve">Post-entry corrections, protests, and CBP correspondence on Client's behalf</w:t>
      </w:r>
    </w:p>
    <w:p>
      <w:pPr>
        <w:pStyle w:val="ListParagraph"/>
        <w:numPr>
          <w:ilvl w:val="0"/>
          <w:numId w:val="2"/>
        </w:numPr>
        <w:spacing w:after="60" w:before="60"/>
      </w:pPr>
      <w:r>
        <w:rPr>
          <w:rFonts w:ascii="Arial" w:cs="Arial" w:eastAsia="Arial" w:hAnsi="Arial"/>
          <w:color w:val="0A0A0A"/>
          <w:sz w:val="20"/>
          <w:szCs w:val="20"/>
        </w:rPr>
        <w:t xml:space="preserve">Recordkeeping in accordance with 19 CFR Part 163</w:t>
      </w:r>
    </w:p>
    <w:p>
      <w:pPr>
        <w:spacing w:after="80" w:before="0"/>
      </w:pPr>
      <w:r>
        <w:t xml:space="preserve"/>
      </w:r>
    </w:p>
    <w:p>
      <w:pPr>
        <w:spacing w:after="100" w:before="80"/>
        <w:jc w:val="both"/>
      </w:pPr>
      <w:r>
        <w:rPr>
          <w:rFonts w:ascii="Arial" w:cs="Arial" w:eastAsia="Arial" w:hAnsi="Arial"/>
          <w:color w:val="0A0A0A"/>
          <w:sz w:val="20"/>
          <w:szCs w:val="20"/>
        </w:rPr>
        <w:t xml:space="preserve">Services NOT included unless separately agreed in writing: freight forwarding, inland transportation, warehousing, foreign customs clearance, or trade financing.</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2 — CLIENT OBLIGATIONS</w:t>
      </w:r>
    </w:p>
    <w:p>
      <w:pPr>
        <w:spacing w:after="100" w:before="0"/>
      </w:pPr>
      <w:r>
        <w:t xml:space="preserve"/>
      </w:r>
    </w:p>
    <w:p>
      <w:pPr>
        <w:spacing w:after="80" w:before="80"/>
        <w:ind w:left="480" w:hanging="360"/>
      </w:pPr>
      <w:r>
        <w:rPr>
          <w:rFonts w:ascii="Arial" w:cs="Arial" w:eastAsia="Arial" w:hAnsi="Arial"/>
          <w:b/>
          <w:bCs/>
          <w:color w:val="2E6DA4"/>
          <w:sz w:val="20"/>
          <w:szCs w:val="20"/>
        </w:rPr>
        <w:t xml:space="preserve">1.</w:t>
      </w:r>
      <w:r>
        <w:rPr>
          <w:rFonts w:ascii="Arial" w:cs="Arial" w:eastAsia="Arial" w:hAnsi="Arial"/>
          <w:color w:val="0A0A0A"/>
          <w:sz w:val="20"/>
          <w:szCs w:val="20"/>
        </w:rPr>
        <w:t xml:space="preserve">  Client shall provide accurate, complete, and timely documentation including commercial invoices, packing lists, bills of lading, and certificates of origin.</w:t>
      </w:r>
    </w:p>
    <w:p>
      <w:pPr>
        <w:spacing w:after="80" w:before="80"/>
        <w:ind w:left="480" w:hanging="360"/>
      </w:pPr>
      <w:r>
        <w:rPr>
          <w:rFonts w:ascii="Arial" w:cs="Arial" w:eastAsia="Arial" w:hAnsi="Arial"/>
          <w:b/>
          <w:bCs/>
          <w:color w:val="2E6DA4"/>
          <w:sz w:val="20"/>
          <w:szCs w:val="20"/>
        </w:rPr>
        <w:t xml:space="preserve">2.</w:t>
      </w:r>
      <w:r>
        <w:rPr>
          <w:rFonts w:ascii="Arial" w:cs="Arial" w:eastAsia="Arial" w:hAnsi="Arial"/>
          <w:color w:val="0A0A0A"/>
          <w:sz w:val="20"/>
          <w:szCs w:val="20"/>
        </w:rPr>
        <w:t xml:space="preserve">  ISF data must be delivered to Broker no later than 24 hours prior to scheduled vessel departure. Entry data must be delivered per applicable CBP requirements.</w:t>
      </w:r>
    </w:p>
    <w:p>
      <w:pPr>
        <w:spacing w:after="80" w:before="80"/>
        <w:ind w:left="480" w:hanging="360"/>
      </w:pPr>
      <w:r>
        <w:rPr>
          <w:rFonts w:ascii="Arial" w:cs="Arial" w:eastAsia="Arial" w:hAnsi="Arial"/>
          <w:b/>
          <w:bCs/>
          <w:color w:val="2E6DA4"/>
          <w:sz w:val="20"/>
          <w:szCs w:val="20"/>
        </w:rPr>
        <w:t xml:space="preserve">3.</w:t>
      </w:r>
      <w:r>
        <w:rPr>
          <w:rFonts w:ascii="Arial" w:cs="Arial" w:eastAsia="Arial" w:hAnsi="Arial"/>
          <w:color w:val="0A0A0A"/>
          <w:sz w:val="20"/>
          <w:szCs w:val="20"/>
        </w:rPr>
        <w:t xml:space="preserve">  Client shall designate an authorized contact responsible for providing instructions and approvals.</w:t>
      </w:r>
    </w:p>
    <w:p>
      <w:pPr>
        <w:spacing w:after="80" w:before="80"/>
        <w:ind w:left="480" w:hanging="360"/>
      </w:pPr>
      <w:r>
        <w:rPr>
          <w:rFonts w:ascii="Arial" w:cs="Arial" w:eastAsia="Arial" w:hAnsi="Arial"/>
          <w:b/>
          <w:bCs/>
          <w:color w:val="2E6DA4"/>
          <w:sz w:val="20"/>
          <w:szCs w:val="20"/>
        </w:rPr>
        <w:t xml:space="preserve">4.</w:t>
      </w:r>
      <w:r>
        <w:rPr>
          <w:rFonts w:ascii="Arial" w:cs="Arial" w:eastAsia="Arial" w:hAnsi="Arial"/>
          <w:color w:val="0A0A0A"/>
          <w:sz w:val="20"/>
          <w:szCs w:val="20"/>
        </w:rPr>
        <w:t xml:space="preserve">  Client warrants that all information provided to Broker is accurate, complete, and not misleading. Client accepts full legal responsibility for the accuracy of all data provided.</w:t>
      </w:r>
    </w:p>
    <w:p>
      <w:pPr>
        <w:spacing w:after="80" w:before="80"/>
        <w:ind w:left="480" w:hanging="360"/>
      </w:pPr>
      <w:r>
        <w:rPr>
          <w:rFonts w:ascii="Arial" w:cs="Arial" w:eastAsia="Arial" w:hAnsi="Arial"/>
          <w:b/>
          <w:bCs/>
          <w:color w:val="2E6DA4"/>
          <w:sz w:val="20"/>
          <w:szCs w:val="20"/>
        </w:rPr>
        <w:t xml:space="preserve">5.</w:t>
      </w:r>
      <w:r>
        <w:rPr>
          <w:rFonts w:ascii="Arial" w:cs="Arial" w:eastAsia="Arial" w:hAnsi="Arial"/>
          <w:color w:val="0A0A0A"/>
          <w:sz w:val="20"/>
          <w:szCs w:val="20"/>
        </w:rPr>
        <w:t xml:space="preserve">  Client shall maintain all entry-related records for a minimum of five (5) years per 19 CFR §163.4.</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3 — FEES AND PAYMENT TERMS</w:t>
      </w:r>
    </w:p>
    <w:p>
      <w:pPr>
        <w:spacing w:after="100" w:before="0"/>
      </w:pPr>
      <w:r>
        <w:t xml:space="preserve"/>
      </w:r>
    </w:p>
    <w:p>
      <w:pPr>
        <w:spacing w:after="100" w:before="80"/>
        <w:jc w:val="both"/>
      </w:pPr>
      <w:r>
        <w:rPr>
          <w:rFonts w:ascii="Arial" w:cs="Arial" w:eastAsia="Arial" w:hAnsi="Arial"/>
          <w:color w:val="0A0A0A"/>
          <w:sz w:val="20"/>
          <w:szCs w:val="20"/>
        </w:rPr>
        <w:t xml:space="preserve">Broker's fees are set forth in the Rate Schedule (F-07), incorporated herein by reference. The following payment terms apply:</w:t>
      </w:r>
    </w:p>
    <w:p>
      <w:pPr>
        <w:pStyle w:val="ListParagraph"/>
        <w:numPr>
          <w:ilvl w:val="0"/>
          <w:numId w:val="2"/>
        </w:numPr>
        <w:spacing w:after="60" w:before="60"/>
      </w:pPr>
      <w:r>
        <w:rPr>
          <w:rFonts w:ascii="Arial" w:cs="Arial" w:eastAsia="Arial" w:hAnsi="Arial"/>
          <w:color w:val="0A0A0A"/>
          <w:sz w:val="20"/>
          <w:szCs w:val="20"/>
        </w:rPr>
        <w:t xml:space="preserve">Invoices due and payable within thirty (30) days of invoice date unless otherwise agreed in writing.</w:t>
      </w:r>
    </w:p>
    <w:p>
      <w:pPr>
        <w:pStyle w:val="ListParagraph"/>
        <w:numPr>
          <w:ilvl w:val="0"/>
          <w:numId w:val="2"/>
        </w:numPr>
        <w:spacing w:after="60" w:before="60"/>
      </w:pPr>
      <w:r>
        <w:rPr>
          <w:rFonts w:ascii="Arial" w:cs="Arial" w:eastAsia="Arial" w:hAnsi="Arial"/>
          <w:color w:val="0A0A0A"/>
          <w:sz w:val="20"/>
          <w:szCs w:val="20"/>
        </w:rPr>
        <w:t xml:space="preserve">Client authorizes Broker to advance duties, taxes, and government charges on Client's behalf. All advances shall be reimbursed within five (5) business days of demand unless a Duty Advance Agreement (F-04) specifies extended terms.</w:t>
      </w:r>
    </w:p>
    <w:p>
      <w:pPr>
        <w:pStyle w:val="ListParagraph"/>
        <w:numPr>
          <w:ilvl w:val="0"/>
          <w:numId w:val="2"/>
        </w:numPr>
        <w:spacing w:after="60" w:before="60"/>
      </w:pPr>
      <w:r>
        <w:rPr>
          <w:rFonts w:ascii="Arial" w:cs="Arial" w:eastAsia="Arial" w:hAnsi="Arial"/>
          <w:color w:val="0A0A0A"/>
          <w:sz w:val="20"/>
          <w:szCs w:val="20"/>
        </w:rPr>
        <w:t xml:space="preserve">Overdue balances accrue interest at 1.5% per month (18% per annum) or the maximum permitted rate.</w:t>
      </w:r>
    </w:p>
    <w:p>
      <w:pPr>
        <w:pStyle w:val="ListParagraph"/>
        <w:numPr>
          <w:ilvl w:val="0"/>
          <w:numId w:val="2"/>
        </w:numPr>
        <w:spacing w:after="60" w:before="60"/>
      </w:pPr>
      <w:r>
        <w:rPr>
          <w:rFonts w:ascii="Arial" w:cs="Arial" w:eastAsia="Arial" w:hAnsi="Arial"/>
          <w:color w:val="0A0A0A"/>
          <w:sz w:val="20"/>
          <w:szCs w:val="20"/>
        </w:rPr>
        <w:t xml:space="preserve">Broker may suspend services and withhold release of cargo documentation pending resolution of overdue accounts.</w:t>
      </w:r>
    </w:p>
    <w:p>
      <w:pPr>
        <w:pStyle w:val="ListParagraph"/>
        <w:numPr>
          <w:ilvl w:val="0"/>
          <w:numId w:val="2"/>
        </w:numPr>
        <w:spacing w:after="60" w:before="60"/>
      </w:pPr>
      <w:r>
        <w:rPr>
          <w:rFonts w:ascii="Arial" w:cs="Arial" w:eastAsia="Arial" w:hAnsi="Arial"/>
          <w:color w:val="0A0A0A"/>
          <w:sz w:val="20"/>
          <w:szCs w:val="20"/>
        </w:rPr>
        <w:t xml:space="preserve">Client is responsible for all third-party charges: government fees, demurrage, exam fees, and bond premiums.</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4 — POWER OF ATTORNEY</w:t>
      </w:r>
    </w:p>
    <w:p>
      <w:pPr>
        <w:spacing w:after="100" w:before="0"/>
      </w:pPr>
      <w:r>
        <w:t xml:space="preserve"/>
      </w:r>
    </w:p>
    <w:p>
      <w:pPr>
        <w:spacing w:after="100" w:before="80"/>
        <w:jc w:val="both"/>
      </w:pPr>
      <w:r>
        <w:rPr>
          <w:rFonts w:ascii="Arial" w:cs="Arial" w:eastAsia="Arial" w:hAnsi="Arial"/>
          <w:color w:val="0A0A0A"/>
          <w:sz w:val="20"/>
          <w:szCs w:val="20"/>
        </w:rPr>
        <w:t xml:space="preserve">Client must execute a separate Customs Power of Attorney (F-02) authorizing Broker to transact CBP business on Client's behalf. This Agreement does not substitute for the Power of Attorney required under 19 CFR §141.32 and §141.46.</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5 — LIMITATION OF LIABILITY</w:t>
      </w:r>
    </w:p>
    <w:p>
      <w:pPr>
        <w:spacing w:after="100" w:before="0"/>
      </w:pPr>
      <w:r>
        <w:t xml:space="preserve"/>
      </w:r>
    </w:p>
    <w:p>
      <w:pPr>
        <w:spacing w:after="80" w:before="80"/>
        <w:ind w:left="480" w:hanging="360"/>
      </w:pPr>
      <w:r>
        <w:rPr>
          <w:rFonts w:ascii="Arial" w:cs="Arial" w:eastAsia="Arial" w:hAnsi="Arial"/>
          <w:b/>
          <w:bCs/>
          <w:color w:val="2E6DA4"/>
          <w:sz w:val="20"/>
          <w:szCs w:val="20"/>
        </w:rPr>
        <w:t xml:space="preserve">1.</w:t>
      </w:r>
      <w:r>
        <w:rPr>
          <w:rFonts w:ascii="Arial" w:cs="Arial" w:eastAsia="Arial" w:hAnsi="Arial"/>
          <w:color w:val="0A0A0A"/>
          <w:sz w:val="20"/>
          <w:szCs w:val="20"/>
        </w:rPr>
        <w:t xml:space="preserve">  Broker's liability for any claim under this Agreement is limited to Broker's fees paid for the specific transaction, not to exceed $500.00 per occurrence unless otherwise agreed in writing.</w:t>
      </w:r>
    </w:p>
    <w:p>
      <w:pPr>
        <w:spacing w:after="80" w:before="80"/>
        <w:ind w:left="480" w:hanging="360"/>
      </w:pPr>
      <w:r>
        <w:rPr>
          <w:rFonts w:ascii="Arial" w:cs="Arial" w:eastAsia="Arial" w:hAnsi="Arial"/>
          <w:b/>
          <w:bCs/>
          <w:color w:val="2E6DA4"/>
          <w:sz w:val="20"/>
          <w:szCs w:val="20"/>
        </w:rPr>
        <w:t xml:space="preserve">2.</w:t>
      </w:r>
      <w:r>
        <w:rPr>
          <w:rFonts w:ascii="Arial" w:cs="Arial" w:eastAsia="Arial" w:hAnsi="Arial"/>
          <w:color w:val="0A0A0A"/>
          <w:sz w:val="20"/>
          <w:szCs w:val="20"/>
        </w:rPr>
        <w:t xml:space="preserve">  Broker shall not be liable for delays, loss, or damage caused by: (a) inaccurate client data; (b) acts of God or force majeure; (c) third-party carrier delays; or (d) CBP examination or hold orders.</w:t>
      </w:r>
    </w:p>
    <w:p>
      <w:pPr>
        <w:spacing w:after="80" w:before="80"/>
        <w:ind w:left="480" w:hanging="360"/>
      </w:pPr>
      <w:r>
        <w:rPr>
          <w:rFonts w:ascii="Arial" w:cs="Arial" w:eastAsia="Arial" w:hAnsi="Arial"/>
          <w:b/>
          <w:bCs/>
          <w:color w:val="2E6DA4"/>
          <w:sz w:val="20"/>
          <w:szCs w:val="20"/>
        </w:rPr>
        <w:t xml:space="preserve">3.</w:t>
      </w:r>
      <w:r>
        <w:rPr>
          <w:rFonts w:ascii="Arial" w:cs="Arial" w:eastAsia="Arial" w:hAnsi="Arial"/>
          <w:color w:val="0A0A0A"/>
          <w:sz w:val="20"/>
          <w:szCs w:val="20"/>
        </w:rPr>
        <w:t xml:space="preserve">  Broker shall not be liable for CBP penalties arising from inaccurate information provided by Client.</w:t>
      </w:r>
    </w:p>
    <w:p>
      <w:pPr>
        <w:spacing w:after="80" w:before="80"/>
        <w:ind w:left="480" w:hanging="360"/>
      </w:pPr>
      <w:r>
        <w:rPr>
          <w:rFonts w:ascii="Arial" w:cs="Arial" w:eastAsia="Arial" w:hAnsi="Arial"/>
          <w:b/>
          <w:bCs/>
          <w:color w:val="2E6DA4"/>
          <w:sz w:val="20"/>
          <w:szCs w:val="20"/>
        </w:rPr>
        <w:t xml:space="preserve">4.</w:t>
      </w:r>
      <w:r>
        <w:rPr>
          <w:rFonts w:ascii="Arial" w:cs="Arial" w:eastAsia="Arial" w:hAnsi="Arial"/>
          <w:color w:val="0A0A0A"/>
          <w:sz w:val="20"/>
          <w:szCs w:val="20"/>
        </w:rPr>
        <w:t xml:space="preserve">  IN NO EVENT SHALL BROKER BE LIABLE FOR INDIRECT, INCIDENTAL, CONSEQUENTIAL, OR PUNITIVE DAMAGES OF ANY KIND.</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6 — INDEMNIFICATION</w:t>
      </w:r>
    </w:p>
    <w:p>
      <w:pPr>
        <w:spacing w:after="100" w:before="0"/>
      </w:pPr>
      <w:r>
        <w:t xml:space="preserve"/>
      </w:r>
    </w:p>
    <w:p>
      <w:pPr>
        <w:spacing w:after="100" w:before="80"/>
        <w:jc w:val="both"/>
      </w:pPr>
      <w:r>
        <w:rPr>
          <w:rFonts w:ascii="Arial" w:cs="Arial" w:eastAsia="Arial" w:hAnsi="Arial"/>
          <w:color w:val="0A0A0A"/>
          <w:sz w:val="20"/>
          <w:szCs w:val="20"/>
        </w:rPr>
        <w:t xml:space="preserve">Client shall indemnify, defend, and hold harmless Broker and its officers, employees, and agents from and against any and all claims, losses, fines, penalties, and expenses (including attorneys' fees) arising from: (a) Client's breach of this Agreement; (b) inaccurate or incomplete information provided by Client; (c) Client's failure to comply with applicable law; or (d) third-party claims relating to Client's imported merchandise.</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7 — CONFIDENTIALITY</w:t>
      </w:r>
    </w:p>
    <w:p>
      <w:pPr>
        <w:spacing w:after="100" w:before="0"/>
      </w:pPr>
      <w:r>
        <w:t xml:space="preserve"/>
      </w:r>
    </w:p>
    <w:p>
      <w:pPr>
        <w:spacing w:after="100" w:before="80"/>
        <w:jc w:val="both"/>
      </w:pPr>
      <w:r>
        <w:rPr>
          <w:rFonts w:ascii="Arial" w:cs="Arial" w:eastAsia="Arial" w:hAnsi="Arial"/>
          <w:color w:val="0A0A0A"/>
          <w:sz w:val="20"/>
          <w:szCs w:val="20"/>
        </w:rPr>
        <w:t xml:space="preserve">Both parties shall maintain the confidentiality of proprietary business information and non-public data disclosed in connection with this Agreement, and shall not disclose such information to third parties without prior written consent, except as required by law or regulation.</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8 — TERM AND TERMINATION</w:t>
      </w:r>
    </w:p>
    <w:p>
      <w:pPr>
        <w:spacing w:after="100" w:before="0"/>
      </w:pPr>
      <w:r>
        <w:t xml:space="preserve"/>
      </w:r>
    </w:p>
    <w:p>
      <w:pPr>
        <w:spacing w:after="80" w:before="80"/>
        <w:ind w:left="480" w:hanging="360"/>
      </w:pPr>
      <w:r>
        <w:rPr>
          <w:rFonts w:ascii="Arial" w:cs="Arial" w:eastAsia="Arial" w:hAnsi="Arial"/>
          <w:b/>
          <w:bCs/>
          <w:color w:val="2E6DA4"/>
          <w:sz w:val="20"/>
          <w:szCs w:val="20"/>
        </w:rPr>
        <w:t xml:space="preserve">1.</w:t>
      </w:r>
      <w:r>
        <w:rPr>
          <w:rFonts w:ascii="Arial" w:cs="Arial" w:eastAsia="Arial" w:hAnsi="Arial"/>
          <w:color w:val="0A0A0A"/>
          <w:sz w:val="20"/>
          <w:szCs w:val="20"/>
        </w:rPr>
        <w:t xml:space="preserve">  This Agreement commences on the Effective Date and continues until terminated by either party upon thirty (30) days' prior written notice.</w:t>
      </w:r>
    </w:p>
    <w:p>
      <w:pPr>
        <w:spacing w:after="80" w:before="80"/>
        <w:ind w:left="480" w:hanging="360"/>
      </w:pPr>
      <w:r>
        <w:rPr>
          <w:rFonts w:ascii="Arial" w:cs="Arial" w:eastAsia="Arial" w:hAnsi="Arial"/>
          <w:b/>
          <w:bCs/>
          <w:color w:val="2E6DA4"/>
          <w:sz w:val="20"/>
          <w:szCs w:val="20"/>
        </w:rPr>
        <w:t xml:space="preserve">2.</w:t>
      </w:r>
      <w:r>
        <w:rPr>
          <w:rFonts w:ascii="Arial" w:cs="Arial" w:eastAsia="Arial" w:hAnsi="Arial"/>
          <w:color w:val="0A0A0A"/>
          <w:sz w:val="20"/>
          <w:szCs w:val="20"/>
        </w:rPr>
        <w:t xml:space="preserve">  Broker may terminate immediately upon Client's breach, non-payment exceeding sixty (60) days, or any action exposing Broker to legal or regulatory liability.</w:t>
      </w:r>
    </w:p>
    <w:p>
      <w:pPr>
        <w:spacing w:after="80" w:before="80"/>
        <w:ind w:left="480" w:hanging="360"/>
      </w:pPr>
      <w:r>
        <w:rPr>
          <w:rFonts w:ascii="Arial" w:cs="Arial" w:eastAsia="Arial" w:hAnsi="Arial"/>
          <w:b/>
          <w:bCs/>
          <w:color w:val="2E6DA4"/>
          <w:sz w:val="20"/>
          <w:szCs w:val="20"/>
        </w:rPr>
        <w:t xml:space="preserve">3.</w:t>
      </w:r>
      <w:r>
        <w:rPr>
          <w:rFonts w:ascii="Arial" w:cs="Arial" w:eastAsia="Arial" w:hAnsi="Arial"/>
          <w:color w:val="0A0A0A"/>
          <w:sz w:val="20"/>
          <w:szCs w:val="20"/>
        </w:rPr>
        <w:t xml:space="preserve">  Upon termination, Client shall pay all outstanding invoices within fifteen (15) days. Broker shall release Client's documents upon receipt of full payment.</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9 — GOVERNING LAW &amp; DISPUTE RESOLUTION</w:t>
      </w:r>
    </w:p>
    <w:p>
      <w:pPr>
        <w:spacing w:after="100" w:before="0"/>
      </w:pPr>
      <w:r>
        <w:t xml:space="preserve"/>
      </w:r>
    </w:p>
    <w:p>
      <w:pPr>
        <w:spacing w:after="100" w:before="80"/>
        <w:jc w:val="both"/>
      </w:pPr>
      <w:r>
        <w:rPr>
          <w:rFonts w:ascii="Arial" w:cs="Arial" w:eastAsia="Arial" w:hAnsi="Arial"/>
          <w:color w:val="0A0A0A"/>
          <w:sz w:val="20"/>
          <w:szCs w:val="20"/>
        </w:rPr>
        <w:t xml:space="preserve">This Agreement is governed by the laws of the State of California. Disputes shall first be submitted to non-binding mediation in Los Angeles County. If unresolved, disputes shall be resolved by binding arbitration under the rules of the American Arbitration Association (AAA) in Los Angeles, California.</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10 — REGULATORY NOTICE</w:t>
      </w:r>
    </w:p>
    <w:p>
      <w:pPr>
        <w:spacing w:after="100" w:before="0"/>
      </w:pPr>
      <w:r>
        <w:t xml:space="preserve"/>
      </w:r>
    </w:p>
    <w:p>
      <w:pPr>
        <w:spacing w:after="100" w:before="80"/>
        <w:jc w:val="both"/>
      </w:pPr>
      <w:r>
        <w:rPr>
          <w:rFonts w:ascii="Arial" w:cs="Arial" w:eastAsia="Arial" w:hAnsi="Arial"/>
          <w:color w:val="0A0A0A"/>
          <w:sz w:val="20"/>
          <w:szCs w:val="20"/>
        </w:rPr>
        <w:t xml:space="preserve">This Agreement is subject to all applicable U.S. Customs laws and regulations including 19 U.S.C. §1641, 19 CFR Part 111, 19 CFR Part 141, and 19 CFR Part 163. Nothing in this Agreement limits Client's obligations as Importer of Record under applicable law.</w:t>
      </w:r>
    </w:p>
    <w:p>
      <w:pPr>
        <w:spacing w:after="80" w:before="0"/>
      </w:pPr>
      <w:r>
        <w:t xml:space="preserve"/>
      </w:r>
    </w:p>
    <w:p>
      <w:pPr>
        <w:pBdr>
          <w:top w:val="single" w:color="FFCCCC" w:sz="2"/>
          <w:bottom w:val="single" w:color="FFCCCC" w:sz="2"/>
          <w:left w:val="thick" w:color="C0392B" w:sz="8"/>
          <w:right w:val="single" w:color="FFCCCC" w:sz="2"/>
        </w:pBdr>
        <w:shd w:fill="FFF5F5" w:val="clear"/>
        <w:spacing w:after="120" w:before="120"/>
        <w:ind w:left="160" w:right="160"/>
      </w:pPr>
      <w:r>
        <w:rPr>
          <w:rFonts w:ascii="Arial" w:cs="Arial" w:eastAsia="Arial" w:hAnsi="Arial"/>
          <w:b/>
          <w:bCs/>
          <w:color w:val="C0392B"/>
          <w:sz w:val="20"/>
          <w:szCs w:val="20"/>
        </w:rPr>
        <w:t xml:space="preserve">⚠  </w:t>
      </w:r>
      <w:r>
        <w:rPr>
          <w:rFonts w:ascii="Arial" w:cs="Arial" w:eastAsia="Arial" w:hAnsi="Arial"/>
          <w:i/>
          <w:iCs/>
          <w:color w:val="C0392B"/>
          <w:sz w:val="18"/>
          <w:szCs w:val="18"/>
        </w:rPr>
        <w:t xml:space="preserve">LEGAL ADVISORY: This is an operational template. Cargotron INC. recommends review by a licensed trade attorney prior to execution with clients.</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Arial" w:cs="Arial" w:eastAsia="Arial" w:hAnsi="Arial"/>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CLIENT / IMPORTER OF RECORD</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CARGOTRON INC.</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color w:val="5A6A7A"/>
              <w:sz w:val="16"/>
              <w:szCs w:val="16"/>
            </w:rPr>
            <w:t xml:space="preserve">CARGOTRON INC.  ·  F-01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5A6A7A"/>
              <w:sz w:val="16"/>
              <w:szCs w:val="16"/>
            </w:rPr>
            <w:t xml:space="preserve">Page </w:t>
          </w:r>
          <w:r>
            <w:rPr>
              <w:rFonts w:ascii="Arial" w:cs="Arial" w:eastAsia="Arial" w:hAnsi="Arial"/>
              <w:color w:val="5A6A7A"/>
              <w:sz w:val="16"/>
              <w:szCs w:val="16"/>
            </w:rPr>
            <w:fldChar w:fldCharType="begin"/>
            <w:instrText xml:space="preserve">PAGE</w:instrText>
            <w:fldChar w:fldCharType="separate"/>
            <w:fldChar w:fldCharType="end"/>
          </w:r>
          <w:r>
            <w:rPr>
              <w:rFonts w:ascii="Arial" w:cs="Arial" w:eastAsia="Arial" w:hAnsi="Arial"/>
              <w:color w:val="5A6A7A"/>
              <w:sz w:val="16"/>
              <w:szCs w:val="16"/>
            </w:rPr>
            <w:t xml:space="preserve"> of </w:t>
          </w:r>
          <w:r>
            <w:rPr>
              <w:rFonts w:ascii="Arial" w:cs="Arial" w:eastAsia="Arial" w:hAnsi="Arial"/>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2026-05-25T14:16:21.381Z</dcterms:created>
  <dcterms:modified xsi:type="dcterms:W3CDTF">2026-05-25T14:16:21.396Z</dcterms:modified>
</cp:coreProperties>
</file>

<file path=docProps/custom.xml><?xml version="1.0" encoding="utf-8"?>
<Properties xmlns="http://schemas.openxmlformats.org/officeDocument/2006/custom-properties" xmlns:vt="http://schemas.openxmlformats.org/officeDocument/2006/docPropsVTypes"/>
</file>